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28" w:rsidRPr="00511002" w:rsidRDefault="00421428" w:rsidP="004214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ind w:left="4962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421428" w:rsidRPr="00511002" w:rsidRDefault="00421428" w:rsidP="00421428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районаБелебеевский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21428" w:rsidRPr="00511002" w:rsidRDefault="00421428" w:rsidP="00421428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21428" w:rsidRPr="00511002" w:rsidRDefault="00421428" w:rsidP="00421428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«09» декабрь2021 года № 49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1428" w:rsidRPr="00511002" w:rsidRDefault="00421428" w:rsidP="004214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21428" w:rsidRPr="00511002" w:rsidRDefault="00421428" w:rsidP="00421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002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в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 (далее - решение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объекты), в том числе условия передачи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или автономным учреждениям,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организации) полномочий муниципального заказчика по заключению и исполнению от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именисельского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от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511002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объектов, по которым было принято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3.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proofErr w:type="gramEnd"/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1002">
        <w:rPr>
          <w:rFonts w:ascii="Times New Roman" w:hAnsi="Times New Roman" w:cs="Times New Roman"/>
          <w:sz w:val="28"/>
          <w:szCs w:val="28"/>
        </w:rPr>
        <w:t>. Подготовка проекта решения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11002">
        <w:rPr>
          <w:rFonts w:ascii="Times New Roman" w:hAnsi="Times New Roman" w:cs="Times New Roman"/>
          <w:sz w:val="28"/>
          <w:szCs w:val="28"/>
        </w:rPr>
        <w:t>4.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выступает главный распорядитель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наделенный в установленном порядке полномочиями в соответствующей сфере ответственности.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бюджетасельского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чьем ведении находится организация (далее – главный распорядитель средств бюджета).</w:t>
      </w:r>
      <w:proofErr w:type="gramEnd"/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5. Главные распорядители средств бюджета, подготавливают проект решения в форме постановления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Администрациисельского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6. В проект решения может быть включено несколько объектов капитального строительства и (или) объектов недвижимого имущества.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lastRenderedPageBreak/>
        <w:t>7. 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 наименование объекта капитального строительства либо наименование объекта недвижимого имущества;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наименование главного распорядителя средств бюджета и муниципального заказчика;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наименование застройщика (заказчика);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мощность (прирост мощности) объекта капитального строительства, подлежащая вводу, мощность объекта недвижимого имущества;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е) срок ввода в эксплуатацию (приобретения) объекта;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0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аудита, если инвестиции на указанные цели предоставляются (в ценах соответствующих лет);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к) 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лет);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л) наименование муниципальной программы, в рамках которой предполагается осуществлять бюджетные инвестиции.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8. 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чем 1 июля текущего года).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10. 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11. 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в течение 5 календарных дней со дня получения заключений.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Администрации) и доводится до главных распорядителей средств бюджета.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доведенных Финансовым управлением планируемых параметров предельных объемов бюджетных ассигнований на очередной финансовый год и плановый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 уточняют проекты решений, которые рассматриваются на совещании с участием Главы Администрации.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12. 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13. 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14. 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в электронном виде по форме в соответствии с приложением к настоящему Положению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.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002">
        <w:rPr>
          <w:rFonts w:ascii="Times New Roman" w:hAnsi="Times New Roman" w:cs="Times New Roman"/>
          <w:sz w:val="28"/>
          <w:szCs w:val="28"/>
        </w:rPr>
        <w:t>. Осуществление бюджетных инвестиций</w:t>
      </w:r>
    </w:p>
    <w:p w:rsidR="00421428" w:rsidRPr="00511002" w:rsidRDefault="00421428" w:rsidP="00421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15.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муниципальными заказчиками, являющимися получателями средств местного бюджета;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511002">
        <w:rPr>
          <w:rFonts w:ascii="Times New Roman" w:hAnsi="Times New Roman" w:cs="Times New Roman"/>
          <w:sz w:val="28"/>
          <w:szCs w:val="28"/>
        </w:rPr>
        <w:t xml:space="preserve">б) 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lastRenderedPageBreak/>
        <w:t>16. 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именисельского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полномочий).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18. Соглашение о передаче полномочий может быть заключено в отношении нескольких объектов и должно содержать в том числе: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а) 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б) положения, устанавливающие права и обязанности организации по заключению и исполнению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ответственность организации за неисполнение или ненадлежащее исполнение переданных ей полномочий;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19. Операции с бюджетными инвестициями отражаются на лицевых счетах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для учета операций со средствами местного бюджета, открытых в Финансовом управлении: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511002">
        <w:rPr>
          <w:rFonts w:ascii="Times New Roman" w:hAnsi="Times New Roman" w:cs="Times New Roman"/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21428" w:rsidRPr="00511002" w:rsidRDefault="00421428" w:rsidP="004214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20. 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421428" w:rsidRPr="00421428" w:rsidRDefault="00421428" w:rsidP="00421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21428" w:rsidRPr="00421428" w:rsidSect="007F1A2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21428" w:rsidRPr="00421428" w:rsidRDefault="00421428" w:rsidP="00421428">
      <w:pPr>
        <w:pStyle w:val="ConsPlusNormal"/>
        <w:ind w:hanging="1701"/>
        <w:jc w:val="both"/>
        <w:rPr>
          <w:rFonts w:ascii="Times New Roman" w:hAnsi="Times New Roman" w:cs="Times New Roman"/>
          <w:sz w:val="18"/>
          <w:szCs w:val="18"/>
        </w:rPr>
      </w:pP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>Приложение к Положению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>о порядке осуществления бюджетных инвестиций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 xml:space="preserve"> в объекты муниципальной собственности 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421428">
        <w:rPr>
          <w:rFonts w:ascii="Times New Roman" w:hAnsi="Times New Roman" w:cs="Times New Roman"/>
          <w:sz w:val="18"/>
          <w:szCs w:val="18"/>
        </w:rPr>
        <w:t>Метевбашевский</w:t>
      </w:r>
      <w:proofErr w:type="spellEnd"/>
      <w:r w:rsidRPr="0042142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21428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Pr="00421428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 xml:space="preserve"> Республики Башкортостан и принятия решений</w:t>
      </w:r>
    </w:p>
    <w:p w:rsidR="00421428" w:rsidRPr="00421428" w:rsidRDefault="00421428" w:rsidP="004214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1428">
        <w:rPr>
          <w:rFonts w:ascii="Times New Roman" w:hAnsi="Times New Roman" w:cs="Times New Roman"/>
          <w:sz w:val="18"/>
          <w:szCs w:val="18"/>
        </w:rPr>
        <w:t xml:space="preserve"> о подготовке и реализации бюджетных инвестиций в указанные объекты</w:t>
      </w:r>
    </w:p>
    <w:p w:rsidR="00421428" w:rsidRPr="00421428" w:rsidRDefault="00421428" w:rsidP="00421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28" w:rsidRPr="00421428" w:rsidRDefault="00421428" w:rsidP="004214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428" w:rsidRPr="00421428" w:rsidRDefault="00421428" w:rsidP="0042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1428">
        <w:rPr>
          <w:rFonts w:ascii="Times New Roman" w:hAnsi="Times New Roman" w:cs="Times New Roman"/>
          <w:b/>
          <w:bCs/>
          <w:sz w:val="18"/>
          <w:szCs w:val="18"/>
        </w:rPr>
        <w:t>Реестр</w:t>
      </w:r>
    </w:p>
    <w:p w:rsidR="00421428" w:rsidRPr="00421428" w:rsidRDefault="00421428" w:rsidP="0042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1428">
        <w:rPr>
          <w:rFonts w:ascii="Times New Roman" w:hAnsi="Times New Roman" w:cs="Times New Roman"/>
          <w:b/>
          <w:bCs/>
          <w:sz w:val="18"/>
          <w:szCs w:val="18"/>
        </w:rPr>
        <w:t>принятых решений о подготовке и реализации бюджетных</w:t>
      </w:r>
    </w:p>
    <w:p w:rsidR="00421428" w:rsidRPr="00421428" w:rsidRDefault="00421428" w:rsidP="0042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1428">
        <w:rPr>
          <w:rFonts w:ascii="Times New Roman" w:hAnsi="Times New Roman" w:cs="Times New Roman"/>
          <w:b/>
          <w:bCs/>
          <w:sz w:val="18"/>
          <w:szCs w:val="18"/>
        </w:rPr>
        <w:t>инвестиций в объекты муниципальной собственности</w:t>
      </w:r>
    </w:p>
    <w:p w:rsidR="00421428" w:rsidRPr="00421428" w:rsidRDefault="00421428" w:rsidP="0042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1428">
        <w:rPr>
          <w:rFonts w:ascii="Times New Roman" w:hAnsi="Times New Roman" w:cs="Times New Roman"/>
          <w:b/>
          <w:bCs/>
          <w:sz w:val="18"/>
          <w:szCs w:val="18"/>
        </w:rPr>
        <w:t xml:space="preserve">сельского поселения </w:t>
      </w:r>
      <w:proofErr w:type="spellStart"/>
      <w:r w:rsidRPr="00421428">
        <w:rPr>
          <w:rFonts w:ascii="Times New Roman" w:hAnsi="Times New Roman" w:cs="Times New Roman"/>
          <w:b/>
          <w:bCs/>
          <w:sz w:val="18"/>
          <w:szCs w:val="18"/>
        </w:rPr>
        <w:t>Метевбашевский</w:t>
      </w:r>
      <w:proofErr w:type="spellEnd"/>
      <w:r w:rsidRPr="00421428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</w:t>
      </w:r>
      <w:proofErr w:type="spellStart"/>
      <w:r w:rsidRPr="00421428">
        <w:rPr>
          <w:rFonts w:ascii="Times New Roman" w:hAnsi="Times New Roman" w:cs="Times New Roman"/>
          <w:b/>
          <w:bCs/>
          <w:sz w:val="18"/>
          <w:szCs w:val="18"/>
        </w:rPr>
        <w:t>Белебеевский</w:t>
      </w:r>
      <w:proofErr w:type="spellEnd"/>
      <w:r w:rsidRPr="00421428">
        <w:rPr>
          <w:rFonts w:ascii="Times New Roman" w:hAnsi="Times New Roman" w:cs="Times New Roman"/>
          <w:b/>
          <w:bCs/>
          <w:sz w:val="18"/>
          <w:szCs w:val="18"/>
        </w:rPr>
        <w:t xml:space="preserve"> район</w:t>
      </w:r>
    </w:p>
    <w:p w:rsidR="00421428" w:rsidRPr="00421428" w:rsidRDefault="00421428" w:rsidP="00421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21428"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</w:t>
      </w:r>
    </w:p>
    <w:p w:rsidR="00421428" w:rsidRPr="00421428" w:rsidRDefault="00421428" w:rsidP="0042142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514"/>
        <w:gridCol w:w="1559"/>
        <w:gridCol w:w="1677"/>
        <w:gridCol w:w="1441"/>
        <w:gridCol w:w="1134"/>
        <w:gridCol w:w="1560"/>
        <w:gridCol w:w="1417"/>
        <w:gridCol w:w="1418"/>
        <w:gridCol w:w="1685"/>
      </w:tblGrid>
      <w:tr w:rsidR="00421428" w:rsidRPr="00421428" w:rsidTr="005B217A">
        <w:trPr>
          <w:jc w:val="center"/>
        </w:trPr>
        <w:tc>
          <w:tcPr>
            <w:tcW w:w="5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275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правового акта о принятии решения</w:t>
            </w:r>
          </w:p>
        </w:tc>
        <w:tc>
          <w:tcPr>
            <w:tcW w:w="1514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бюджетного инвестирования</w:t>
            </w:r>
          </w:p>
        </w:tc>
        <w:tc>
          <w:tcPr>
            <w:tcW w:w="1677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1441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застройщика (заказчика)</w:t>
            </w:r>
          </w:p>
        </w:tc>
        <w:tc>
          <w:tcPr>
            <w:tcW w:w="1134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1560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ввода в эксплуатацию (приобретения) объекта</w:t>
            </w:r>
          </w:p>
        </w:tc>
        <w:tc>
          <w:tcPr>
            <w:tcW w:w="1417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Сметная стоимость объекта по годам</w:t>
            </w:r>
          </w:p>
        </w:tc>
        <w:tc>
          <w:tcPr>
            <w:tcW w:w="1418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(предельный) объем бюджетных инвестиций по годам</w:t>
            </w:r>
          </w:p>
        </w:tc>
        <w:tc>
          <w:tcPr>
            <w:tcW w:w="1685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</w:tr>
      <w:tr w:rsidR="00421428" w:rsidRPr="00421428" w:rsidTr="005B217A">
        <w:trPr>
          <w:jc w:val="center"/>
        </w:trPr>
        <w:tc>
          <w:tcPr>
            <w:tcW w:w="534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5" w:type="dxa"/>
          </w:tcPr>
          <w:p w:rsidR="00421428" w:rsidRPr="00421428" w:rsidRDefault="00421428" w:rsidP="005B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4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21428" w:rsidRPr="00421428" w:rsidTr="005B217A">
        <w:trPr>
          <w:jc w:val="center"/>
        </w:trPr>
        <w:tc>
          <w:tcPr>
            <w:tcW w:w="5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1428" w:rsidRPr="00421428" w:rsidTr="005B217A">
        <w:trPr>
          <w:jc w:val="center"/>
        </w:trPr>
        <w:tc>
          <w:tcPr>
            <w:tcW w:w="5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1428" w:rsidRPr="00421428" w:rsidTr="005B217A">
        <w:trPr>
          <w:jc w:val="center"/>
        </w:trPr>
        <w:tc>
          <w:tcPr>
            <w:tcW w:w="5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</w:tcPr>
          <w:p w:rsidR="00421428" w:rsidRPr="00421428" w:rsidRDefault="00421428" w:rsidP="005B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D1DAC" w:rsidRDefault="004D1DAC" w:rsidP="00421428">
      <w:pPr>
        <w:ind w:left="-1701"/>
      </w:pPr>
    </w:p>
    <w:sectPr w:rsidR="004D1DAC" w:rsidSect="00421428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428"/>
    <w:rsid w:val="00421428"/>
    <w:rsid w:val="004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42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2022-05-24T04:35:00Z</dcterms:created>
  <dcterms:modified xsi:type="dcterms:W3CDTF">2022-05-24T04:37:00Z</dcterms:modified>
</cp:coreProperties>
</file>