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F29FE" w:rsidTr="006F29F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9FE" w:rsidRDefault="006F29FE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6F29FE" w:rsidRDefault="006F29FE">
            <w:pPr>
              <w:ind w:left="28"/>
              <w:rPr>
                <w:sz w:val="12"/>
                <w:szCs w:val="12"/>
              </w:rPr>
            </w:pPr>
          </w:p>
          <w:p w:rsidR="006F29FE" w:rsidRDefault="006F29FE">
            <w:pPr>
              <w:ind w:left="28"/>
              <w:rPr>
                <w:rFonts w:ascii="TimBashk" w:hAnsi="TimBashk"/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452105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т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2"/>
                <w:szCs w:val="22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2"/>
                <w:szCs w:val="22"/>
              </w:rPr>
              <w:t>кт</w:t>
            </w:r>
            <w:r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 xml:space="preserve">, </w:t>
            </w:r>
            <w:r>
              <w:rPr>
                <w:w w:val="90"/>
                <w:sz w:val="22"/>
                <w:szCs w:val="22"/>
              </w:rPr>
              <w:t>62 а</w:t>
            </w:r>
          </w:p>
          <w:p w:rsidR="006F29FE" w:rsidRDefault="006F29FE">
            <w:pPr>
              <w:ind w:left="28"/>
              <w:jc w:val="center"/>
              <w:rPr>
                <w:w w:val="9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>
              <w:rPr>
                <w:w w:val="90"/>
                <w:sz w:val="22"/>
                <w:szCs w:val="22"/>
              </w:rPr>
              <w:t>2-61-45</w:t>
            </w:r>
          </w:p>
          <w:p w:rsidR="006F29FE" w:rsidRDefault="006F29F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9FE" w:rsidRDefault="006F29FE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6F29FE" w:rsidRDefault="006F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9FE" w:rsidRDefault="006F29FE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6F29FE" w:rsidRDefault="006F29F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6F29FE" w:rsidRDefault="006F29FE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6F29FE" w:rsidRDefault="006F29FE">
            <w:pPr>
              <w:ind w:right="3"/>
              <w:jc w:val="center"/>
              <w:rPr>
                <w:rFonts w:ascii="TimBashk" w:hAnsi="TimBashk"/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452105</w:t>
            </w:r>
            <w:r>
              <w:rPr>
                <w:rFonts w:ascii="TimBashk" w:hAnsi="TimBashk"/>
                <w:w w:val="90"/>
                <w:sz w:val="22"/>
                <w:szCs w:val="22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2"/>
                <w:szCs w:val="22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2"/>
                <w:szCs w:val="22"/>
              </w:rPr>
              <w:t>, ул. Школьная  62 а</w:t>
            </w:r>
          </w:p>
          <w:p w:rsidR="006F29FE" w:rsidRDefault="006F29FE">
            <w:pPr>
              <w:ind w:right="3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>
              <w:rPr>
                <w:w w:val="90"/>
                <w:sz w:val="22"/>
                <w:szCs w:val="22"/>
              </w:rPr>
              <w:t>2-61-45</w:t>
            </w:r>
          </w:p>
          <w:p w:rsidR="006F29FE" w:rsidRDefault="006F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29FE" w:rsidRDefault="006F29FE" w:rsidP="006F29FE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проект</w:t>
      </w:r>
    </w:p>
    <w:p w:rsidR="006F29FE" w:rsidRDefault="006F29FE" w:rsidP="006F29F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6F29FE" w:rsidRDefault="006F29FE" w:rsidP="006F29FE">
      <w:pPr>
        <w:rPr>
          <w:sz w:val="28"/>
          <w:szCs w:val="28"/>
        </w:rPr>
      </w:pPr>
      <w:r>
        <w:rPr>
          <w:sz w:val="28"/>
          <w:szCs w:val="28"/>
        </w:rPr>
        <w:t xml:space="preserve">«_» май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                               « __ » мая  2018 г.</w:t>
      </w:r>
    </w:p>
    <w:p w:rsidR="006F29FE" w:rsidRDefault="006F29FE" w:rsidP="006F29FE">
      <w:pPr>
        <w:pStyle w:val="ConsPlusTitle"/>
        <w:widowControl/>
        <w:shd w:val="clear" w:color="auto" w:fill="FFFFFF"/>
        <w:tabs>
          <w:tab w:val="left" w:pos="9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</w:p>
    <w:p w:rsidR="006F29FE" w:rsidRDefault="006F29FE" w:rsidP="006F29FE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F29FE" w:rsidRDefault="006F29FE" w:rsidP="006F29FE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6F29FE" w:rsidRDefault="006F29FE" w:rsidP="006F29FE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доходам в сумме  </w:t>
      </w:r>
      <w:r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3 591827,99</w:t>
      </w:r>
      <w:r>
        <w:rPr>
          <w:rFonts w:ascii="Times New Roman" w:hAnsi="Times New Roman" w:cs="Times New Roman"/>
          <w:sz w:val="28"/>
          <w:szCs w:val="28"/>
        </w:rPr>
        <w:t xml:space="preserve"> рублей и по расходам в сумме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4 119250,28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над доходами  (дефицит бюджета) в сумме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527422,29</w:t>
      </w:r>
      <w:r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кодам классификации доходов бюджетов согласно приложению 1 к настоящему решению;</w:t>
      </w: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ведомственной структуре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согласно приложению 2 к настоящему решению;</w:t>
      </w: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разделам, подразделам, целевым статьям и видам расходов классификации расходов бюджетов согласно приложению 3 к настоящему решению.</w:t>
      </w:r>
    </w:p>
    <w:p w:rsidR="006F29FE" w:rsidRDefault="006F29FE" w:rsidP="006F29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6F29FE" w:rsidRDefault="006F29FE" w:rsidP="006F2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Администрации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F29FE" w:rsidRDefault="006F29FE" w:rsidP="006F29F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9FE" w:rsidRDefault="006F29FE" w:rsidP="006F29FE">
      <w:pPr>
        <w:rPr>
          <w:sz w:val="28"/>
          <w:szCs w:val="28"/>
        </w:rPr>
      </w:pPr>
    </w:p>
    <w:p w:rsidR="006F29FE" w:rsidRDefault="006F29FE" w:rsidP="006F29FE">
      <w:pPr>
        <w:rPr>
          <w:sz w:val="28"/>
          <w:szCs w:val="28"/>
        </w:rPr>
      </w:pPr>
    </w:p>
    <w:p w:rsidR="006F29FE" w:rsidRDefault="006F29FE" w:rsidP="006F29FE">
      <w:pPr>
        <w:rPr>
          <w:sz w:val="28"/>
          <w:szCs w:val="28"/>
        </w:rPr>
      </w:pPr>
    </w:p>
    <w:p w:rsidR="006F29FE" w:rsidRDefault="006F29FE" w:rsidP="006F29FE">
      <w:pPr>
        <w:rPr>
          <w:sz w:val="28"/>
          <w:szCs w:val="28"/>
        </w:rPr>
      </w:pPr>
    </w:p>
    <w:p w:rsidR="0029687A" w:rsidRDefault="006F29FE" w:rsidP="006F29FE">
      <w:r>
        <w:rPr>
          <w:sz w:val="28"/>
          <w:szCs w:val="28"/>
        </w:rPr>
        <w:t xml:space="preserve">Глава сельского поселения                                       </w:t>
      </w:r>
      <w:r w:rsidR="007F5A14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FE"/>
    <w:rsid w:val="0029687A"/>
    <w:rsid w:val="006F29FE"/>
    <w:rsid w:val="007F5A14"/>
    <w:rsid w:val="007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F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9F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F2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9FE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6F29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F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2018-05-16T11:18:00Z</dcterms:created>
  <dcterms:modified xsi:type="dcterms:W3CDTF">2018-05-16T11:20:00Z</dcterms:modified>
</cp:coreProperties>
</file>