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45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F1840" w:rsidTr="001F1840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840" w:rsidRDefault="001F1840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БАШҚОРТОСТАН РЕСПУБЛИКАҺЫ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1F1840" w:rsidRDefault="001F1840">
            <w:pPr>
              <w:ind w:left="28"/>
              <w:rPr>
                <w:sz w:val="12"/>
                <w:szCs w:val="12"/>
              </w:rPr>
            </w:pPr>
          </w:p>
          <w:p w:rsidR="001F1840" w:rsidRDefault="001F1840">
            <w:pPr>
              <w:ind w:left="28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,М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М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4"/>
                <w:szCs w:val="24"/>
              </w:rPr>
              <w:t>кт</w:t>
            </w:r>
            <w:r>
              <w:rPr>
                <w:rFonts w:ascii="TimBashk" w:hAnsi="TimBashk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 xml:space="preserve">, </w:t>
            </w:r>
            <w:r>
              <w:rPr>
                <w:w w:val="90"/>
                <w:sz w:val="24"/>
                <w:szCs w:val="24"/>
              </w:rPr>
              <w:t>62 а</w:t>
            </w:r>
          </w:p>
          <w:p w:rsidR="001F1840" w:rsidRDefault="001F1840">
            <w:pPr>
              <w:ind w:left="28"/>
              <w:jc w:val="center"/>
              <w:rPr>
                <w:w w:val="90"/>
                <w:sz w:val="24"/>
                <w:szCs w:val="24"/>
                <w:lang w:val="kk-KZ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1F1840" w:rsidRDefault="001F1840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840" w:rsidRDefault="001F1840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1F1840" w:rsidRDefault="001F1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1840" w:rsidRDefault="001F1840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1F1840" w:rsidRDefault="001F1840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1F1840" w:rsidRDefault="001F1840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1F1840" w:rsidRDefault="001F1840">
            <w:pPr>
              <w:ind w:right="3"/>
              <w:jc w:val="center"/>
              <w:rPr>
                <w:rFonts w:ascii="TimBashk" w:hAnsi="TimBashk"/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452035</w:t>
            </w:r>
            <w:r>
              <w:rPr>
                <w:rFonts w:ascii="TimBashk" w:hAnsi="TimBashk"/>
                <w:w w:val="90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4"/>
                <w:szCs w:val="24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4"/>
                <w:szCs w:val="24"/>
              </w:rPr>
              <w:t>, ул. Школьная  62 а</w:t>
            </w:r>
          </w:p>
          <w:p w:rsidR="001F1840" w:rsidRDefault="001F1840">
            <w:pPr>
              <w:ind w:right="3"/>
              <w:jc w:val="center"/>
              <w:rPr>
                <w:w w:val="90"/>
                <w:sz w:val="24"/>
                <w:szCs w:val="24"/>
              </w:rPr>
            </w:pPr>
            <w:r>
              <w:rPr>
                <w:rFonts w:ascii="TimBashk" w:hAnsi="TimBashk"/>
                <w:w w:val="90"/>
                <w:sz w:val="24"/>
                <w:szCs w:val="24"/>
              </w:rPr>
              <w:t xml:space="preserve">Тел. </w:t>
            </w:r>
            <w:r>
              <w:rPr>
                <w:w w:val="90"/>
                <w:sz w:val="24"/>
                <w:szCs w:val="24"/>
              </w:rPr>
              <w:t>2-61-45</w:t>
            </w:r>
          </w:p>
          <w:p w:rsidR="001F1840" w:rsidRDefault="001F18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F1840" w:rsidRDefault="001F1840" w:rsidP="001F1840">
      <w:pPr>
        <w:jc w:val="center"/>
        <w:rPr>
          <w:b/>
          <w:sz w:val="28"/>
        </w:rPr>
      </w:pPr>
    </w:p>
    <w:p w:rsidR="001F1840" w:rsidRDefault="001F1840" w:rsidP="001F1840">
      <w:pPr>
        <w:keepNext/>
        <w:spacing w:before="240" w:after="60"/>
        <w:outlineLvl w:val="1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К</w:t>
      </w:r>
      <w:r>
        <w:rPr>
          <w:rFonts w:ascii="TimBashk" w:hAnsi="TimBashk" w:cs="Arial"/>
          <w:b/>
          <w:bCs/>
          <w:iCs/>
          <w:sz w:val="28"/>
          <w:szCs w:val="28"/>
        </w:rPr>
        <w:t>АРАР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                                      РЕШЕНИЕ</w:t>
      </w:r>
    </w:p>
    <w:p w:rsidR="001F1840" w:rsidRDefault="001F1840" w:rsidP="001F1840">
      <w:pPr>
        <w:rPr>
          <w:sz w:val="28"/>
          <w:szCs w:val="28"/>
        </w:rPr>
      </w:pPr>
      <w:r>
        <w:rPr>
          <w:sz w:val="28"/>
          <w:szCs w:val="28"/>
        </w:rPr>
        <w:t xml:space="preserve">« 01 »февраль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№ 151                    « 01 » февраля  2017 г.</w:t>
      </w:r>
    </w:p>
    <w:p w:rsidR="001F1840" w:rsidRDefault="001F1840" w:rsidP="001F1840">
      <w:pPr>
        <w:rPr>
          <w:sz w:val="28"/>
          <w:szCs w:val="28"/>
        </w:rPr>
      </w:pPr>
    </w:p>
    <w:p w:rsidR="001F1840" w:rsidRDefault="001F1840" w:rsidP="001F1840">
      <w:pPr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 в Положение о бюджетном процессе</w:t>
      </w:r>
    </w:p>
    <w:p w:rsidR="001F1840" w:rsidRDefault="001F1840" w:rsidP="001F18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сельском поселении 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 сельсовет</w:t>
      </w:r>
    </w:p>
    <w:p w:rsidR="001F1840" w:rsidRDefault="001F1840" w:rsidP="001F18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Белебеевский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1F1840" w:rsidRDefault="001F1840" w:rsidP="001F184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1F1840" w:rsidRDefault="001F1840" w:rsidP="001F1840">
      <w:pPr>
        <w:pStyle w:val="3"/>
        <w:rPr>
          <w:bCs/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9 Бюджетного кодекса Российской Федерации </w:t>
      </w:r>
      <w:r>
        <w:rPr>
          <w:iCs/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iCs/>
          <w:sz w:val="28"/>
          <w:szCs w:val="28"/>
        </w:rPr>
        <w:t xml:space="preserve"> муниципального района </w:t>
      </w:r>
      <w:proofErr w:type="spellStart"/>
      <w:r>
        <w:rPr>
          <w:iCs/>
          <w:sz w:val="28"/>
          <w:szCs w:val="28"/>
        </w:rPr>
        <w:t>Белебеевский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1F1840" w:rsidRDefault="001F1840" w:rsidP="001F1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Положение о бюджетном процессе в сельском поселении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от «16» июня 2014 года № 326, следующие изменения:</w:t>
      </w: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 Пункт 2 статьи 8 изложить в следующей редакции:</w:t>
      </w: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 При составлении проекта бюджета поселения доходы бюджета прогнозируются на основе: 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основных направлений бюджетной политики и основных направлений налоговой политики;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основных направлений </w:t>
      </w:r>
      <w:proofErr w:type="spellStart"/>
      <w:r>
        <w:rPr>
          <w:sz w:val="28"/>
          <w:szCs w:val="28"/>
        </w:rPr>
        <w:t>таможенно-тарифной</w:t>
      </w:r>
      <w:proofErr w:type="spellEnd"/>
      <w:r>
        <w:rPr>
          <w:sz w:val="28"/>
          <w:szCs w:val="28"/>
        </w:rPr>
        <w:t xml:space="preserve"> политики Российской Федерации;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прогноза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бюджетного прогноза (проекта бюджетного прогноза, проекта изменений бюджетного прогноза) на долгосрочный период в случае, если </w:t>
      </w:r>
      <w:r>
        <w:rPr>
          <w:sz w:val="28"/>
          <w:szCs w:val="28"/>
        </w:rPr>
        <w:lastRenderedPageBreak/>
        <w:t>представительный орган муниципального образования принял решение о его формировании;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муниципальных программ (проектов муниципальных программ, проектов изменений указанных программ)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Абзац первый пункта 3 статьи 14 после слова «должны» дополнить словами «соответствовать общим требованиям, установленным Правительством Российской Федерации, и»;</w:t>
      </w: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Дополнить</w:t>
        </w:r>
      </w:hyperlink>
      <w:r>
        <w:rPr>
          <w:sz w:val="28"/>
          <w:szCs w:val="28"/>
        </w:rPr>
        <w:t xml:space="preserve"> статью 14 пунктом 3.1 следующего содержания: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«3.1. 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сельсовет, предусмотренными пунктом 3 настоящей статьи, возврату в бюджет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</w:t>
      </w:r>
      <w:r>
        <w:rPr>
          <w:iCs/>
          <w:sz w:val="28"/>
          <w:szCs w:val="28"/>
        </w:rPr>
        <w:t xml:space="preserve"> муниципального района </w:t>
      </w:r>
      <w:proofErr w:type="spellStart"/>
      <w:r>
        <w:rPr>
          <w:iCs/>
          <w:sz w:val="28"/>
          <w:szCs w:val="28"/>
        </w:rPr>
        <w:t>Белебеевский</w:t>
      </w:r>
      <w:proofErr w:type="spellEnd"/>
      <w:r>
        <w:rPr>
          <w:iCs/>
          <w:sz w:val="28"/>
          <w:szCs w:val="28"/>
        </w:rPr>
        <w:t xml:space="preserve"> район Республики</w:t>
      </w:r>
      <w:proofErr w:type="gramStart"/>
      <w:r>
        <w:rPr>
          <w:sz w:val="28"/>
          <w:szCs w:val="28"/>
        </w:rPr>
        <w:t>.»;</w:t>
      </w:r>
      <w:proofErr w:type="gramEnd"/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Дополнить</w:t>
        </w:r>
      </w:hyperlink>
      <w:r>
        <w:rPr>
          <w:sz w:val="28"/>
          <w:szCs w:val="28"/>
        </w:rPr>
        <w:t xml:space="preserve"> статью 14 пунктом 4.1 следующего содержания:</w:t>
      </w: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«4.1. </w:t>
      </w:r>
      <w:proofErr w:type="gramStart"/>
      <w:r>
        <w:rPr>
          <w:sz w:val="28"/>
          <w:szCs w:val="28"/>
        </w:rPr>
        <w:t>При предоставлении субсидий, предусмотренных настоящей статьей, юридическим лицам, указанным в пункте 1 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</w:t>
      </w:r>
      <w:proofErr w:type="gramEnd"/>
      <w:r>
        <w:rPr>
          <w:sz w:val="28"/>
          <w:szCs w:val="28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 сельсовет, регулирующими предоставление субсидий указанным юридическим лицам</w:t>
      </w:r>
      <w:proofErr w:type="gramStart"/>
      <w:r>
        <w:rPr>
          <w:sz w:val="28"/>
          <w:szCs w:val="28"/>
        </w:rPr>
        <w:t>.»;</w:t>
      </w:r>
      <w:proofErr w:type="gramEnd"/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 Пункт 6 статьи 26 изложить в следующей редакции:</w:t>
      </w:r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«6. Отчет об использовании бюджетных ассигнований резервного фонда администрации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прилагается к годовому отчету об исполнении бюджета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1F1840" w:rsidRDefault="001F1840" w:rsidP="001F18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840" w:rsidRDefault="001F1840" w:rsidP="001F18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для ознакомления населения на информационном стенде в здании  Администрации  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  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 район Республики  Башкортостан по адресу: Республика Башкортостан,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Метевбаш</w:t>
      </w:r>
      <w:proofErr w:type="spellEnd"/>
      <w:r>
        <w:rPr>
          <w:sz w:val="28"/>
          <w:szCs w:val="28"/>
        </w:rPr>
        <w:t xml:space="preserve"> ,ул. Школьная д62а  и  обнародовать на официальном сайте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lastRenderedPageBreak/>
        <w:t xml:space="preserve">муниципального 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 район Республики  Башкортостан по адресу:  </w:t>
      </w:r>
      <w:r>
        <w:t xml:space="preserve"> </w:t>
      </w:r>
      <w:proofErr w:type="spellStart"/>
      <w:r>
        <w:t>метевбаш.рф</w:t>
      </w:r>
      <w:proofErr w:type="spellEnd"/>
    </w:p>
    <w:p w:rsidR="001F1840" w:rsidRDefault="001F1840" w:rsidP="001F18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1840" w:rsidRDefault="001F1840" w:rsidP="001F1840">
      <w:pPr>
        <w:pStyle w:val="p1"/>
        <w:spacing w:before="0" w:beforeAutospacing="0" w:after="0" w:afterAutospacing="0" w:line="276" w:lineRule="auto"/>
      </w:pPr>
    </w:p>
    <w:p w:rsidR="001F1840" w:rsidRDefault="001F1840" w:rsidP="001F1840">
      <w:pPr>
        <w:pStyle w:val="p1"/>
        <w:spacing w:before="0" w:beforeAutospacing="0" w:after="0" w:afterAutospacing="0" w:line="276" w:lineRule="auto"/>
      </w:pPr>
      <w:r>
        <w:t xml:space="preserve"> Глава сельского поселения</w:t>
      </w:r>
      <w:r>
        <w:tab/>
        <w:t xml:space="preserve">                                                     </w:t>
      </w:r>
      <w:proofErr w:type="spellStart"/>
      <w:r>
        <w:t>М.М.Зайруллин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840"/>
    <w:rsid w:val="001F1840"/>
    <w:rsid w:val="0029687A"/>
    <w:rsid w:val="00B0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4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1F18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F18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1">
    <w:name w:val="p1"/>
    <w:basedOn w:val="a"/>
    <w:rsid w:val="001F1840"/>
    <w:pPr>
      <w:spacing w:before="100" w:beforeAutospacing="1" w:after="100" w:afterAutospacing="1"/>
      <w:jc w:val="both"/>
    </w:pPr>
    <w:rPr>
      <w:rFonts w:eastAsia="Calibri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18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8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E3EB51ACD38F231554BF1C59390E0D2AEDD3C31337CF8DB6F6D53434E29EDD3FC4345E5F13A63e4F8K" TargetMode="External"/><Relationship Id="rId5" Type="http://schemas.openxmlformats.org/officeDocument/2006/relationships/hyperlink" Target="consultantplus://offline/ref=761E3EB51ACD38F231554BF1C59390E0D2AEDD3C31337CF8DB6F6D53434E29EDD3FC4345E5F13A63e4F8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>Microsoft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2017-02-21T11:59:00Z</dcterms:created>
  <dcterms:modified xsi:type="dcterms:W3CDTF">2017-02-21T11:59:00Z</dcterms:modified>
</cp:coreProperties>
</file>